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numPr>
          <w:ilvl w:val="0"/>
          <w:numId w:val="0"/>
        </w:numPr>
        <w:bidi w:val="0"/>
        <w:spacing w:lineRule="auto" w:line="240" w:beforeAutospacing="1" w:afterAutospacing="1"/>
        <w:ind w:left="0" w:right="0" w:firstLine="737"/>
        <w:jc w:val="both"/>
        <w:outlineLvl w:val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-6"/>
          <w:kern w:val="2"/>
          <w:sz w:val="28"/>
          <w:szCs w:val="28"/>
          <w:lang w:eastAsia="ru-RU"/>
        </w:rPr>
        <w:t xml:space="preserve">Статья 24 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-6"/>
          <w:kern w:val="2"/>
          <w:sz w:val="28"/>
          <w:szCs w:val="28"/>
          <w:lang w:eastAsia="ru-RU"/>
        </w:rPr>
        <w:t>ФЗ-248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-6"/>
          <w:kern w:val="2"/>
          <w:sz w:val="28"/>
          <w:szCs w:val="28"/>
          <w:lang w:eastAsia="ru-RU"/>
        </w:rPr>
        <w:t>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>
      <w:pPr>
        <w:pStyle w:val="Style14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0" w:name="dst100275"/>
      <w:bookmarkEnd w:id="0"/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860" cy="20066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0pt;margin-top: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>
      <w:pPr>
        <w:pStyle w:val="Style14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1" w:name="dst100276"/>
      <w:bookmarkEnd w:id="1"/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860" cy="20066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0pt;margin-top: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>
      <w:pPr>
        <w:pStyle w:val="Style14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2" w:name="dst100277"/>
      <w:bookmarkEnd w:id="2"/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860" cy="200660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fillcolor="white" stroked="f" style="position:absolute;margin-left:0pt;margin-top: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>
      <w:pPr>
        <w:pStyle w:val="Style14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3" w:name="dst100278"/>
      <w:bookmarkEnd w:id="3"/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860" cy="200660"/>
                <wp:effectExtent l="0" t="0" r="0" b="0"/>
                <wp:wrapNone/>
                <wp:docPr id="7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fillcolor="white" stroked="f" style="position:absolute;margin-left:0pt;margin-top: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>
      <w:pPr>
        <w:pStyle w:val="Style14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4" w:name="dst100279"/>
      <w:bookmarkEnd w:id="4"/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860" cy="200660"/>
                <wp:effectExtent l="0" t="0" r="0" b="0"/>
                <wp:wrapNone/>
                <wp:docPr id="9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fillcolor="white" stroked="f" style="position:absolute;margin-left:0pt;margin-top: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>
      <w:pPr>
        <w:pStyle w:val="Style14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bookmarkStart w:id="5" w:name="dst100280"/>
      <w:bookmarkEnd w:id="5"/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0</wp:posOffset>
                </wp:positionH>
                <wp:positionV relativeFrom="line">
                  <wp:posOffset>635</wp:posOffset>
                </wp:positionV>
                <wp:extent cx="276860" cy="200660"/>
                <wp:effectExtent l="0" t="0" r="0" b="0"/>
                <wp:wrapNone/>
                <wp:docPr id="11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6" fillcolor="white" stroked="f" style="position:absolute;margin-left:0pt;margin-top: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spacing w:val="-6"/>
          <w:kern w:val="2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20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b082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b082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LibreOffice/7.0.3.1$Linux_X86_64 LibreOffice_project/00$Build-1</Application>
  <Pages>2</Pages>
  <Words>351</Words>
  <Characters>2602</Characters>
  <CharactersWithSpaces>2946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2021-11-22T11:28:00Z</dcterms:created>
  <dc:creator>Администратор безопасности</dc:creator>
  <dc:description/>
  <dc:language>ru-RU</dc:language>
  <cp:lastModifiedBy/>
  <dcterms:modified xsi:type="dcterms:W3CDTF">2022-04-14T11:42:48Z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