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C5" w:rsidRDefault="008039BD" w:rsidP="008039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9BD"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31 июля 2020 г. № 248-ФЗ </w:t>
      </w:r>
      <w:r w:rsidR="005150E2" w:rsidRPr="005A28D2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8039BD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150E2" w:rsidRPr="005A28D2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8039BD">
        <w:rPr>
          <w:rFonts w:ascii="Times New Roman" w:eastAsiaTheme="minorHAnsi" w:hAnsi="Times New Roman"/>
          <w:sz w:val="28"/>
          <w:szCs w:val="28"/>
        </w:rPr>
        <w:t xml:space="preserve"> </w:t>
      </w:r>
      <w:r w:rsidR="00CD7E04" w:rsidRPr="008039BD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="00CD7E04" w:rsidRPr="008039BD">
        <w:rPr>
          <w:rFonts w:ascii="Times New Roman" w:hAnsi="Times New Roman"/>
          <w:sz w:val="28"/>
          <w:szCs w:val="28"/>
        </w:rPr>
        <w:t>план-графиком</w:t>
      </w:r>
      <w:proofErr w:type="spellEnd"/>
      <w:r w:rsidR="00CD7E04" w:rsidRPr="008039BD">
        <w:rPr>
          <w:rFonts w:ascii="Times New Roman" w:hAnsi="Times New Roman"/>
          <w:sz w:val="28"/>
          <w:szCs w:val="28"/>
        </w:rPr>
        <w:t xml:space="preserve"> (дорожной картой) по разработке проектов нормативных документов, утвержденным Правительством Российской Федерации, </w:t>
      </w:r>
      <w:r w:rsidR="009B63E3">
        <w:rPr>
          <w:rFonts w:ascii="Times New Roman" w:hAnsi="Times New Roman"/>
          <w:sz w:val="28"/>
          <w:szCs w:val="28"/>
        </w:rPr>
        <w:t>МЧС России проведена</w:t>
      </w:r>
      <w:r w:rsidR="00CD7E04" w:rsidRPr="008039BD">
        <w:rPr>
          <w:rFonts w:ascii="Times New Roman" w:hAnsi="Times New Roman"/>
          <w:sz w:val="28"/>
          <w:szCs w:val="28"/>
        </w:rPr>
        <w:t xml:space="preserve"> работа по совершенствованию государственного надзора в области </w:t>
      </w:r>
      <w:r w:rsidR="0082631E">
        <w:rPr>
          <w:rFonts w:ascii="Times New Roman" w:hAnsi="Times New Roman"/>
          <w:sz w:val="28"/>
          <w:szCs w:val="28"/>
        </w:rPr>
        <w:t>лицензионного контроля</w:t>
      </w:r>
      <w:r w:rsidR="00A23AC5">
        <w:rPr>
          <w:rFonts w:ascii="Times New Roman" w:hAnsi="Times New Roman"/>
          <w:sz w:val="28"/>
          <w:szCs w:val="28"/>
        </w:rPr>
        <w:t xml:space="preserve"> лицензируемой деятельности в области пожарной безопасности.</w:t>
      </w:r>
      <w:proofErr w:type="gramEnd"/>
    </w:p>
    <w:p w:rsidR="00CD7E04" w:rsidRDefault="00855702" w:rsidP="0048240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2022 году</w:t>
      </w:r>
      <w:r w:rsidR="009B6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вступили в силу</w:t>
      </w:r>
      <w:r w:rsidR="00CD7E04">
        <w:rPr>
          <w:rFonts w:ascii="Times New Roman" w:hAnsi="Times New Roman"/>
          <w:sz w:val="28"/>
          <w:szCs w:val="28"/>
        </w:rPr>
        <w:t xml:space="preserve"> </w:t>
      </w:r>
      <w:r w:rsidR="009B63E3">
        <w:rPr>
          <w:rFonts w:ascii="Times New Roman" w:hAnsi="Times New Roman"/>
          <w:sz w:val="28"/>
          <w:szCs w:val="28"/>
        </w:rPr>
        <w:t>нормативные акты</w:t>
      </w:r>
      <w:r w:rsidR="00CD7E04">
        <w:rPr>
          <w:rFonts w:ascii="Times New Roman" w:eastAsia="Arial Unicode MS" w:hAnsi="Times New Roman"/>
          <w:sz w:val="28"/>
          <w:szCs w:val="28"/>
        </w:rPr>
        <w:t xml:space="preserve"> Российской</w:t>
      </w:r>
      <w:r w:rsidR="009B63E3">
        <w:rPr>
          <w:rFonts w:ascii="Times New Roman" w:eastAsia="Arial Unicode MS" w:hAnsi="Times New Roman"/>
          <w:sz w:val="28"/>
          <w:szCs w:val="28"/>
        </w:rPr>
        <w:t xml:space="preserve"> Федерации</w:t>
      </w:r>
      <w:r w:rsidR="00D402BF" w:rsidRPr="00BC0800">
        <w:rPr>
          <w:rFonts w:ascii="Times New Roman" w:eastAsia="Times New Roman" w:hAnsi="Times New Roman"/>
          <w:sz w:val="28"/>
          <w:lang w:eastAsia="ru-RU"/>
        </w:rPr>
        <w:t>, связанны</w:t>
      </w:r>
      <w:r w:rsidR="009B63E3">
        <w:rPr>
          <w:rFonts w:ascii="Times New Roman" w:eastAsia="Times New Roman" w:hAnsi="Times New Roman"/>
          <w:sz w:val="28"/>
          <w:lang w:eastAsia="ru-RU"/>
        </w:rPr>
        <w:t>е</w:t>
      </w:r>
      <w:r w:rsidR="00D402BF" w:rsidRPr="00BC0800">
        <w:rPr>
          <w:rFonts w:ascii="Times New Roman" w:eastAsia="Times New Roman" w:hAnsi="Times New Roman"/>
          <w:sz w:val="28"/>
          <w:lang w:eastAsia="ru-RU"/>
        </w:rPr>
        <w:t xml:space="preserve"> с организацией и осуществлением</w:t>
      </w:r>
      <w:r w:rsidR="00D402B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23AC5">
        <w:rPr>
          <w:rFonts w:ascii="Times New Roman" w:eastAsia="Times New Roman" w:hAnsi="Times New Roman"/>
          <w:sz w:val="28"/>
          <w:lang w:eastAsia="ru-RU"/>
        </w:rPr>
        <w:t xml:space="preserve">федерального государственного лицензионного </w:t>
      </w:r>
      <w:proofErr w:type="gramStart"/>
      <w:r w:rsidR="00A23AC5">
        <w:rPr>
          <w:rFonts w:ascii="Times New Roman" w:eastAsia="Times New Roman" w:hAnsi="Times New Roman"/>
          <w:sz w:val="28"/>
          <w:lang w:eastAsia="ru-RU"/>
        </w:rPr>
        <w:t>контроля за</w:t>
      </w:r>
      <w:proofErr w:type="gramEnd"/>
      <w:r w:rsidR="00A23AC5">
        <w:rPr>
          <w:rFonts w:ascii="Times New Roman" w:eastAsia="Times New Roman" w:hAnsi="Times New Roman"/>
          <w:sz w:val="28"/>
          <w:lang w:eastAsia="ru-RU"/>
        </w:rPr>
        <w:t xml:space="preserve"> деятельностью </w:t>
      </w:r>
      <w:r w:rsidR="00A23AC5">
        <w:rPr>
          <w:rFonts w:ascii="Times New Roman" w:hAnsi="Times New Roman"/>
          <w:sz w:val="28"/>
          <w:szCs w:val="28"/>
        </w:rPr>
        <w:t xml:space="preserve">по </w:t>
      </w:r>
      <w:r w:rsidR="00A23AC5" w:rsidRPr="0082631E">
        <w:rPr>
          <w:rFonts w:ascii="Times New Roman" w:eastAsiaTheme="minorHAnsi" w:hAnsi="Times New Roman"/>
          <w:bCs/>
          <w:sz w:val="28"/>
          <w:szCs w:val="28"/>
        </w:rPr>
        <w:t>монтажу, техническому обслуживанию и ремонту средств обеспечения пожарной безопасности зданий и сооружений</w:t>
      </w:r>
      <w:r w:rsidR="00A23AC5">
        <w:rPr>
          <w:rFonts w:ascii="Times New Roman" w:eastAsiaTheme="minorHAnsi" w:hAnsi="Times New Roman"/>
          <w:bCs/>
          <w:sz w:val="28"/>
          <w:szCs w:val="28"/>
        </w:rPr>
        <w:t>;</w:t>
      </w:r>
      <w:r w:rsidR="00A23AC5" w:rsidRPr="0082631E">
        <w:rPr>
          <w:rFonts w:ascii="Times New Roman" w:eastAsiaTheme="minorHAnsi" w:hAnsi="Times New Roman"/>
          <w:bCs/>
          <w:sz w:val="28"/>
          <w:szCs w:val="28"/>
        </w:rPr>
        <w:t xml:space="preserve"> и деятельности по тушению пожаров в населенных пунктах, на производственных объектах и объектах инфраструктуры</w:t>
      </w:r>
      <w:r w:rsidR="00482408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9B63E3">
        <w:rPr>
          <w:rFonts w:ascii="Times New Roman" w:eastAsia="Times New Roman" w:hAnsi="Times New Roman"/>
          <w:sz w:val="28"/>
          <w:lang w:eastAsia="ru-RU"/>
        </w:rPr>
        <w:t>в частности:</w:t>
      </w:r>
    </w:p>
    <w:p w:rsidR="005054FE" w:rsidRPr="009530D3" w:rsidRDefault="00661084" w:rsidP="005054FE">
      <w:pPr>
        <w:ind w:firstLine="709"/>
        <w:jc w:val="both"/>
        <w:rPr>
          <w:rFonts w:ascii="Times New Roman" w:eastAsia="Arial Unicode MS" w:hAnsi="Times New Roman"/>
          <w:i/>
        </w:rPr>
      </w:pPr>
      <w:hyperlink r:id="rId8" w:history="1">
        <w:r w:rsidR="005A28D2" w:rsidRPr="001B30F0">
          <w:rPr>
            <w:rFonts w:ascii="Times New Roman" w:hAnsi="Times New Roman"/>
            <w:b/>
            <w:bCs/>
            <w:sz w:val="28"/>
            <w:szCs w:val="28"/>
            <w:lang w:eastAsia="ru-RU"/>
          </w:rPr>
          <w:t>П</w:t>
        </w:r>
        <w:r w:rsidR="005054FE" w:rsidRPr="001B30F0">
          <w:rPr>
            <w:rFonts w:ascii="Times New Roman" w:hAnsi="Times New Roman"/>
            <w:b/>
            <w:bCs/>
            <w:sz w:val="28"/>
            <w:szCs w:val="28"/>
            <w:lang w:eastAsia="ru-RU"/>
          </w:rPr>
          <w:t>остановлени</w:t>
        </w:r>
        <w:r w:rsidR="00855702" w:rsidRPr="001B30F0">
          <w:rPr>
            <w:rFonts w:ascii="Times New Roman" w:hAnsi="Times New Roman"/>
            <w:b/>
            <w:bCs/>
            <w:sz w:val="28"/>
            <w:szCs w:val="28"/>
            <w:lang w:eastAsia="ru-RU"/>
          </w:rPr>
          <w:t>ем</w:t>
        </w:r>
      </w:hyperlink>
      <w:r w:rsidR="005054FE" w:rsidRPr="001B30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Правительства РФ от 20 июля 2021 г. № 1223</w:t>
      </w:r>
      <w:r w:rsidR="002D6D36">
        <w:rPr>
          <w:rFonts w:ascii="Times New Roman" w:hAnsi="Times New Roman"/>
          <w:bCs/>
          <w:sz w:val="28"/>
          <w:szCs w:val="28"/>
          <w:lang w:eastAsia="ru-RU"/>
        </w:rPr>
        <w:br/>
      </w:r>
      <w:r w:rsidR="005054FE" w:rsidRPr="005A28D2">
        <w:rPr>
          <w:rFonts w:ascii="Times New Roman" w:hAnsi="Times New Roman"/>
          <w:bCs/>
          <w:sz w:val="28"/>
          <w:szCs w:val="28"/>
          <w:lang w:eastAsia="ru-RU"/>
        </w:rPr>
        <w:t xml:space="preserve">"О внесении изменений в некоторые акты Правительства Российской Федерации" </w:t>
      </w:r>
      <w:r w:rsidR="00855702">
        <w:rPr>
          <w:rFonts w:ascii="Times New Roman" w:hAnsi="Times New Roman"/>
          <w:bCs/>
          <w:sz w:val="28"/>
          <w:szCs w:val="28"/>
          <w:lang w:eastAsia="ru-RU"/>
        </w:rPr>
        <w:t xml:space="preserve">внесены изменения </w:t>
      </w:r>
      <w:proofErr w:type="gramStart"/>
      <w:r w:rsidR="00855702"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gramEnd"/>
      <w:r w:rsidR="0085570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82408" w:rsidRPr="00482408" w:rsidRDefault="00482408" w:rsidP="00482408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2408">
        <w:rPr>
          <w:rFonts w:ascii="Times New Roman" w:eastAsia="Arial Unicode MS" w:hAnsi="Times New Roman"/>
          <w:bCs/>
          <w:sz w:val="28"/>
          <w:szCs w:val="28"/>
        </w:rPr>
        <w:t>«Положение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сооружений», утвержденное постановлением Правительства Российской Федерации от 28 июля 2020 г. N 1128 (ред. 30.11.2021)</w:t>
      </w:r>
    </w:p>
    <w:p w:rsidR="00482408" w:rsidRPr="00482408" w:rsidRDefault="00482408" w:rsidP="00482408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482408">
        <w:rPr>
          <w:rFonts w:ascii="Times New Roman" w:eastAsia="Arial Unicode MS" w:hAnsi="Times New Roman"/>
          <w:bCs/>
          <w:sz w:val="28"/>
          <w:szCs w:val="28"/>
        </w:rPr>
        <w:t>«Положение о лицензировании деятельности по тушению пожаров в населенных пунктах, на производственных объектах и объектах инфраструктуры», утвержденное постановлением Правительства Российской Федерации от 28 июля 2020 г. N 1131 (ред. 30.11.2021)</w:t>
      </w:r>
    </w:p>
    <w:p w:rsidR="00347089" w:rsidRDefault="00347089" w:rsidP="008039BD">
      <w:pPr>
        <w:ind w:firstLine="709"/>
        <w:jc w:val="both"/>
        <w:rPr>
          <w:rFonts w:ascii="Times New Roman" w:eastAsia="Arial Unicode MS" w:hAnsi="Times New Roman"/>
          <w:i/>
        </w:rPr>
      </w:pPr>
    </w:p>
    <w:p w:rsidR="005054FE" w:rsidRPr="00D171E1" w:rsidRDefault="005054FE" w:rsidP="005054FE">
      <w:pPr>
        <w:ind w:firstLine="709"/>
        <w:jc w:val="both"/>
        <w:rPr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>Вышеперечисленными П</w:t>
      </w:r>
      <w:r w:rsidRPr="00BC0800">
        <w:rPr>
          <w:rFonts w:ascii="Times New Roman" w:eastAsia="Times New Roman" w:hAnsi="Times New Roman"/>
          <w:sz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lang w:eastAsia="ru-RU"/>
        </w:rPr>
        <w:t>ями</w:t>
      </w:r>
      <w:r w:rsidRPr="00BC0800">
        <w:rPr>
          <w:rFonts w:ascii="Times New Roman" w:eastAsia="Times New Roman" w:hAnsi="Times New Roman"/>
          <w:sz w:val="28"/>
          <w:lang w:eastAsia="ru-RU"/>
        </w:rPr>
        <w:t xml:space="preserve"> устанавливается набор средств и механизмов проведения профилактической работы, а также реализуемых органами, осуществляющими федеральный государственный </w:t>
      </w:r>
      <w:r w:rsidRPr="00D171E1">
        <w:rPr>
          <w:rFonts w:ascii="Times New Roman" w:eastAsia="Times New Roman" w:hAnsi="Times New Roman"/>
          <w:color w:val="000000"/>
          <w:sz w:val="28"/>
          <w:lang w:eastAsia="ru-RU"/>
        </w:rPr>
        <w:t>надзор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D171E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при проведении данн</w:t>
      </w:r>
      <w:r w:rsidR="005A28D2">
        <w:rPr>
          <w:rFonts w:ascii="Times New Roman" w:eastAsia="Times New Roman" w:hAnsi="Times New Roman"/>
          <w:color w:val="000000"/>
          <w:sz w:val="28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5A28D2">
        <w:rPr>
          <w:rFonts w:ascii="Times New Roman" w:eastAsia="Times New Roman" w:hAnsi="Times New Roman"/>
          <w:color w:val="000000"/>
          <w:sz w:val="28"/>
          <w:lang w:eastAsia="ru-RU"/>
        </w:rPr>
        <w:t>работы</w:t>
      </w:r>
      <w:r w:rsidRPr="00D171E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F96970" w:rsidRDefault="00F96970" w:rsidP="00F9697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рамках осуществления лицензионного контроля могут проводиться следующие профилактические мероприятия:</w:t>
      </w:r>
    </w:p>
    <w:p w:rsidR="00F96970" w:rsidRDefault="005150E2" w:rsidP="001303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970">
        <w:rPr>
          <w:rFonts w:ascii="Times New Roman" w:eastAsiaTheme="minorHAnsi" w:hAnsi="Times New Roman"/>
          <w:sz w:val="28"/>
          <w:szCs w:val="28"/>
        </w:rPr>
        <w:t xml:space="preserve"> информирование;</w:t>
      </w:r>
    </w:p>
    <w:p w:rsidR="00F96970" w:rsidRDefault="005150E2" w:rsidP="001303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970">
        <w:rPr>
          <w:rFonts w:ascii="Times New Roman" w:eastAsiaTheme="minorHAnsi" w:hAnsi="Times New Roman"/>
          <w:sz w:val="28"/>
          <w:szCs w:val="28"/>
        </w:rPr>
        <w:t xml:space="preserve"> обобщение правоприменительной практики;</w:t>
      </w:r>
    </w:p>
    <w:p w:rsidR="00F96970" w:rsidRDefault="005150E2" w:rsidP="001303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970">
        <w:rPr>
          <w:rFonts w:ascii="Times New Roman" w:eastAsiaTheme="minorHAnsi" w:hAnsi="Times New Roman"/>
          <w:sz w:val="28"/>
          <w:szCs w:val="28"/>
        </w:rPr>
        <w:t xml:space="preserve"> объявление предостережения;</w:t>
      </w:r>
    </w:p>
    <w:p w:rsidR="00F96970" w:rsidRDefault="005150E2" w:rsidP="001303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970">
        <w:rPr>
          <w:rFonts w:ascii="Times New Roman" w:eastAsiaTheme="minorHAnsi" w:hAnsi="Times New Roman"/>
          <w:sz w:val="28"/>
          <w:szCs w:val="28"/>
        </w:rPr>
        <w:t xml:space="preserve"> консультирование;</w:t>
      </w:r>
    </w:p>
    <w:p w:rsidR="00F96970" w:rsidRDefault="005150E2" w:rsidP="001303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96970">
        <w:rPr>
          <w:rFonts w:ascii="Times New Roman" w:eastAsiaTheme="minorHAnsi" w:hAnsi="Times New Roman"/>
          <w:sz w:val="28"/>
          <w:szCs w:val="28"/>
        </w:rPr>
        <w:t xml:space="preserve"> профилактический визит</w:t>
      </w:r>
      <w:r w:rsidR="00DA2923">
        <w:rPr>
          <w:rFonts w:ascii="Times New Roman" w:eastAsiaTheme="minorHAnsi" w:hAnsi="Times New Roman"/>
          <w:sz w:val="28"/>
          <w:szCs w:val="28"/>
        </w:rPr>
        <w:t xml:space="preserve"> </w:t>
      </w:r>
      <w:r w:rsidR="00DA2923" w:rsidRPr="0013034C">
        <w:rPr>
          <w:rFonts w:ascii="Times New Roman" w:hAnsi="Times New Roman"/>
          <w:bCs/>
          <w:iCs/>
          <w:sz w:val="28"/>
          <w:szCs w:val="28"/>
        </w:rPr>
        <w:t>(не позднее чем в течени</w:t>
      </w:r>
      <w:r w:rsidR="002D6D36">
        <w:rPr>
          <w:rFonts w:ascii="Times New Roman" w:hAnsi="Times New Roman"/>
          <w:bCs/>
          <w:iCs/>
          <w:sz w:val="28"/>
          <w:szCs w:val="28"/>
        </w:rPr>
        <w:t>е</w:t>
      </w:r>
      <w:r w:rsidR="00DA2923" w:rsidRPr="0013034C">
        <w:rPr>
          <w:rFonts w:ascii="Times New Roman" w:hAnsi="Times New Roman"/>
          <w:bCs/>
          <w:iCs/>
          <w:sz w:val="28"/>
          <w:szCs w:val="28"/>
        </w:rPr>
        <w:t xml:space="preserve"> одного года с момента получения лицензии)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55702" w:rsidRDefault="00855702" w:rsidP="0013034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42FD" w:rsidRPr="00D94CDC" w:rsidRDefault="00EF459A" w:rsidP="0013034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4CDC">
        <w:rPr>
          <w:rFonts w:ascii="Times New Roman" w:hAnsi="Times New Roman"/>
          <w:bCs/>
          <w:sz w:val="28"/>
          <w:szCs w:val="28"/>
        </w:rPr>
        <w:t xml:space="preserve">В отношении лицензиатов, осуществляющих лицензируемый вид деятельности, проводится периодическое подтверждение соответствия лицензионным требованиям каждые 3 года со дня предоставления лицензии в </w:t>
      </w:r>
      <w:r w:rsidRPr="00D94CDC">
        <w:rPr>
          <w:rFonts w:ascii="Times New Roman" w:hAnsi="Times New Roman"/>
          <w:bCs/>
          <w:sz w:val="28"/>
          <w:szCs w:val="28"/>
        </w:rPr>
        <w:lastRenderedPageBreak/>
        <w:t>порядке, установленном Федеральным законом</w:t>
      </w:r>
      <w:r w:rsidR="00D94CDC" w:rsidRPr="00D94CDC">
        <w:rPr>
          <w:rFonts w:ascii="Times New Roman" w:hAnsi="Times New Roman"/>
          <w:bCs/>
          <w:sz w:val="28"/>
          <w:szCs w:val="28"/>
        </w:rPr>
        <w:t xml:space="preserve"> от 04.05.2011 N 99-ФЗ (ред. от 30.12.2021)</w:t>
      </w:r>
      <w:r w:rsidRPr="00D94CDC">
        <w:rPr>
          <w:rFonts w:ascii="Times New Roman" w:hAnsi="Times New Roman"/>
          <w:bCs/>
          <w:sz w:val="28"/>
          <w:szCs w:val="28"/>
        </w:rPr>
        <w:t xml:space="preserve"> </w:t>
      </w:r>
      <w:r w:rsidR="002D6D36" w:rsidRPr="005A28D2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D94CDC">
        <w:rPr>
          <w:rFonts w:ascii="Times New Roman" w:hAnsi="Times New Roman"/>
          <w:bCs/>
          <w:sz w:val="28"/>
          <w:szCs w:val="28"/>
        </w:rPr>
        <w:t>О лицензировании отдельных видов деятельности</w:t>
      </w:r>
      <w:r w:rsidR="002D6D36" w:rsidRPr="005A28D2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="0013034C">
        <w:rPr>
          <w:rFonts w:ascii="Times New Roman" w:hAnsi="Times New Roman"/>
          <w:bCs/>
          <w:sz w:val="28"/>
          <w:szCs w:val="28"/>
        </w:rPr>
        <w:t>.</w:t>
      </w:r>
    </w:p>
    <w:p w:rsidR="001000BA" w:rsidRDefault="001000BA" w:rsidP="00D06EE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96116" w:rsidRDefault="00826109" w:rsidP="0059611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Статьей 1 </w:t>
      </w:r>
      <w:r w:rsidR="00596116" w:rsidRPr="005150E2">
        <w:rPr>
          <w:rFonts w:ascii="Times New Roman" w:hAnsi="Times New Roman"/>
          <w:b/>
          <w:bCs/>
          <w:sz w:val="28"/>
          <w:szCs w:val="28"/>
        </w:rPr>
        <w:t>Федеральн</w:t>
      </w:r>
      <w:r w:rsidRPr="005150E2">
        <w:rPr>
          <w:rFonts w:ascii="Times New Roman" w:hAnsi="Times New Roman"/>
          <w:b/>
          <w:bCs/>
          <w:sz w:val="28"/>
          <w:szCs w:val="28"/>
        </w:rPr>
        <w:t>ого</w:t>
      </w:r>
      <w:r w:rsidR="00596116" w:rsidRPr="005150E2">
        <w:rPr>
          <w:rFonts w:ascii="Times New Roman" w:hAnsi="Times New Roman"/>
          <w:b/>
          <w:bCs/>
          <w:sz w:val="28"/>
          <w:szCs w:val="28"/>
        </w:rPr>
        <w:t xml:space="preserve"> закон</w:t>
      </w:r>
      <w:r w:rsidRPr="005150E2">
        <w:rPr>
          <w:rFonts w:ascii="Times New Roman" w:hAnsi="Times New Roman"/>
          <w:b/>
          <w:bCs/>
          <w:sz w:val="28"/>
          <w:szCs w:val="28"/>
        </w:rPr>
        <w:t>а</w:t>
      </w:r>
      <w:r w:rsidR="00596116" w:rsidRPr="005150E2">
        <w:rPr>
          <w:rFonts w:ascii="Times New Roman" w:hAnsi="Times New Roman"/>
          <w:b/>
          <w:bCs/>
          <w:sz w:val="28"/>
          <w:szCs w:val="28"/>
        </w:rPr>
        <w:t xml:space="preserve"> от 11.06.2021 N 168-ФЗ</w:t>
      </w:r>
      <w:r w:rsidR="00596116">
        <w:rPr>
          <w:rFonts w:ascii="Times New Roman" w:hAnsi="Times New Roman"/>
          <w:bCs/>
          <w:sz w:val="28"/>
          <w:szCs w:val="28"/>
        </w:rPr>
        <w:t xml:space="preserve"> </w:t>
      </w:r>
      <w:r w:rsidR="00596116" w:rsidRPr="00596116">
        <w:rPr>
          <w:rFonts w:ascii="Times New Roman" w:hAnsi="Times New Roman"/>
          <w:bCs/>
          <w:sz w:val="28"/>
          <w:szCs w:val="28"/>
        </w:rPr>
        <w:t>внесен</w:t>
      </w:r>
      <w:r w:rsidR="009D45DD">
        <w:rPr>
          <w:rFonts w:ascii="Times New Roman" w:hAnsi="Times New Roman"/>
          <w:bCs/>
          <w:sz w:val="28"/>
          <w:szCs w:val="28"/>
        </w:rPr>
        <w:t>ы</w:t>
      </w:r>
      <w:r w:rsidR="00596116" w:rsidRPr="00596116">
        <w:rPr>
          <w:rFonts w:ascii="Times New Roman" w:hAnsi="Times New Roman"/>
          <w:bCs/>
          <w:sz w:val="28"/>
          <w:szCs w:val="28"/>
        </w:rPr>
        <w:t xml:space="preserve"> изменени</w:t>
      </w:r>
      <w:r w:rsidR="009D45DD">
        <w:rPr>
          <w:rFonts w:ascii="Times New Roman" w:hAnsi="Times New Roman"/>
          <w:bCs/>
          <w:sz w:val="28"/>
          <w:szCs w:val="28"/>
        </w:rPr>
        <w:t>я</w:t>
      </w:r>
      <w:r w:rsidR="00596116" w:rsidRPr="00596116">
        <w:rPr>
          <w:rFonts w:ascii="Times New Roman" w:hAnsi="Times New Roman"/>
          <w:bCs/>
          <w:sz w:val="28"/>
          <w:szCs w:val="28"/>
        </w:rPr>
        <w:t xml:space="preserve"> в Федеральный закон "О пожарной безопасности" </w:t>
      </w:r>
      <w:r w:rsidR="009D45DD">
        <w:rPr>
          <w:rFonts w:ascii="Times New Roman" w:hAnsi="Times New Roman"/>
          <w:bCs/>
          <w:sz w:val="28"/>
          <w:szCs w:val="28"/>
        </w:rPr>
        <w:t>в части касающейся обеспечения деятельности в области пожарной безопасности, а именно:</w:t>
      </w:r>
    </w:p>
    <w:p w:rsidR="009D45DD" w:rsidRDefault="001000BA" w:rsidP="0059611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C040B">
        <w:rPr>
          <w:rFonts w:ascii="Times New Roman" w:hAnsi="Times New Roman"/>
          <w:bCs/>
          <w:sz w:val="28"/>
          <w:szCs w:val="28"/>
        </w:rPr>
        <w:t>о</w:t>
      </w:r>
      <w:r w:rsidR="009D45DD" w:rsidRPr="009D45DD">
        <w:rPr>
          <w:rFonts w:ascii="Times New Roman" w:hAnsi="Times New Roman"/>
          <w:bCs/>
          <w:sz w:val="28"/>
          <w:szCs w:val="28"/>
        </w:rPr>
        <w:t>пределены особенности предоставления лицензий и ведения реестра лицензий на осуществление отдельных видов деятельности</w:t>
      </w:r>
    </w:p>
    <w:p w:rsidR="009D45DD" w:rsidRDefault="001000BA" w:rsidP="009D45D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D45DD" w:rsidRPr="001C040B">
        <w:rPr>
          <w:rFonts w:ascii="Times New Roman" w:hAnsi="Times New Roman"/>
          <w:bCs/>
          <w:sz w:val="28"/>
          <w:szCs w:val="28"/>
        </w:rPr>
        <w:t xml:space="preserve"> утверждены</w:t>
      </w:r>
      <w:r w:rsidR="001C040B" w:rsidRPr="001C040B">
        <w:rPr>
          <w:rFonts w:ascii="Times New Roman" w:hAnsi="Times New Roman"/>
          <w:bCs/>
          <w:sz w:val="28"/>
          <w:szCs w:val="28"/>
        </w:rPr>
        <w:t xml:space="preserve"> процедуры п</w:t>
      </w:r>
      <w:r w:rsidR="009D45DD" w:rsidRPr="001C040B">
        <w:rPr>
          <w:rFonts w:ascii="Times New Roman" w:hAnsi="Times New Roman"/>
          <w:bCs/>
          <w:sz w:val="28"/>
          <w:szCs w:val="28"/>
        </w:rPr>
        <w:t>риостановлени</w:t>
      </w:r>
      <w:r w:rsidR="00D6032E">
        <w:rPr>
          <w:rFonts w:ascii="Times New Roman" w:hAnsi="Times New Roman"/>
          <w:bCs/>
          <w:sz w:val="28"/>
          <w:szCs w:val="28"/>
        </w:rPr>
        <w:t>я</w:t>
      </w:r>
      <w:r w:rsidR="009D45DD" w:rsidRPr="001C040B">
        <w:rPr>
          <w:rFonts w:ascii="Times New Roman" w:hAnsi="Times New Roman"/>
          <w:bCs/>
          <w:sz w:val="28"/>
          <w:szCs w:val="28"/>
        </w:rPr>
        <w:t xml:space="preserve"> действия и аннулировани</w:t>
      </w:r>
      <w:r w:rsidR="001C040B" w:rsidRPr="001C040B">
        <w:rPr>
          <w:rFonts w:ascii="Times New Roman" w:hAnsi="Times New Roman"/>
          <w:bCs/>
          <w:sz w:val="28"/>
          <w:szCs w:val="28"/>
        </w:rPr>
        <w:t>я</w:t>
      </w:r>
      <w:r w:rsidR="009D45DD" w:rsidRPr="001C040B">
        <w:rPr>
          <w:rFonts w:ascii="Times New Roman" w:hAnsi="Times New Roman"/>
          <w:bCs/>
          <w:sz w:val="28"/>
          <w:szCs w:val="28"/>
        </w:rPr>
        <w:t xml:space="preserve"> лицензии</w:t>
      </w:r>
    </w:p>
    <w:p w:rsidR="001C040B" w:rsidRPr="001C040B" w:rsidRDefault="00D6032E" w:rsidP="001C040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C040B" w:rsidRPr="001C040B">
        <w:rPr>
          <w:rFonts w:ascii="Times New Roman" w:hAnsi="Times New Roman"/>
          <w:bCs/>
          <w:sz w:val="28"/>
          <w:szCs w:val="28"/>
        </w:rPr>
        <w:t>устан</w:t>
      </w:r>
      <w:r>
        <w:rPr>
          <w:rFonts w:ascii="Times New Roman" w:hAnsi="Times New Roman"/>
          <w:bCs/>
          <w:sz w:val="28"/>
          <w:szCs w:val="28"/>
        </w:rPr>
        <w:t>овлены</w:t>
      </w:r>
      <w:r w:rsidR="001C040B" w:rsidRPr="001C040B">
        <w:rPr>
          <w:rFonts w:ascii="Times New Roman" w:hAnsi="Times New Roman"/>
          <w:bCs/>
          <w:sz w:val="28"/>
          <w:szCs w:val="28"/>
        </w:rPr>
        <w:t xml:space="preserve"> дополнительные условия осуществления лицензионной деятельности</w:t>
      </w:r>
      <w:r w:rsidR="001C040B">
        <w:rPr>
          <w:rFonts w:ascii="Times New Roman" w:hAnsi="Times New Roman"/>
          <w:bCs/>
          <w:sz w:val="28"/>
          <w:szCs w:val="28"/>
        </w:rPr>
        <w:t>.</w:t>
      </w:r>
    </w:p>
    <w:p w:rsidR="009D45DD" w:rsidRDefault="009D45DD" w:rsidP="0059611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217D4" w:rsidRPr="009529C8" w:rsidRDefault="009529C8" w:rsidP="006239F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529C8">
        <w:rPr>
          <w:rFonts w:ascii="Times New Roman" w:hAnsi="Times New Roman"/>
          <w:bCs/>
          <w:sz w:val="28"/>
          <w:szCs w:val="28"/>
        </w:rPr>
        <w:t>С 1 марта 2022 года лицензирование в области обеспечения пожарной безопасности</w:t>
      </w:r>
      <w:r w:rsidR="000217D4" w:rsidRPr="009529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29C8">
        <w:rPr>
          <w:rFonts w:ascii="Times New Roman" w:eastAsiaTheme="minorHAnsi" w:hAnsi="Times New Roman"/>
          <w:sz w:val="28"/>
          <w:szCs w:val="28"/>
        </w:rPr>
        <w:t>осуществляется с учетом</w:t>
      </w:r>
      <w:r w:rsidR="000217D4" w:rsidRPr="009529C8">
        <w:rPr>
          <w:rFonts w:ascii="Times New Roman" w:eastAsiaTheme="minorHAnsi" w:hAnsi="Times New Roman"/>
          <w:sz w:val="28"/>
          <w:szCs w:val="28"/>
        </w:rPr>
        <w:t xml:space="preserve"> следующих особенностей:</w:t>
      </w:r>
    </w:p>
    <w:p w:rsidR="000217D4" w:rsidRPr="009529C8" w:rsidRDefault="000217D4" w:rsidP="006239F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529C8">
        <w:rPr>
          <w:rFonts w:ascii="Times New Roman" w:eastAsiaTheme="minorHAnsi" w:hAnsi="Times New Roman"/>
          <w:sz w:val="28"/>
          <w:szCs w:val="28"/>
        </w:rPr>
        <w:t xml:space="preserve">1) лицензиаты, которым лицензии предоставлены до 1 января 2012 года, должны представить в лицензирующий орган информацию, предусмотренную </w:t>
      </w:r>
      <w:hyperlink r:id="rId9" w:history="1">
        <w:r w:rsidRPr="009529C8">
          <w:rPr>
            <w:rFonts w:ascii="Times New Roman" w:eastAsiaTheme="minorHAnsi" w:hAnsi="Times New Roman"/>
            <w:sz w:val="28"/>
            <w:szCs w:val="28"/>
          </w:rPr>
          <w:t>частью четвертой статьи 24.3</w:t>
        </w:r>
      </w:hyperlink>
      <w:r w:rsidRPr="009529C8">
        <w:rPr>
          <w:rFonts w:ascii="Times New Roman" w:eastAsiaTheme="minorHAnsi" w:hAnsi="Times New Roman"/>
          <w:sz w:val="28"/>
          <w:szCs w:val="28"/>
        </w:rPr>
        <w:t xml:space="preserve"> Федерального закона от 21 декабря 1994 года N 69-ФЗ "О пожарной безопасности", в течение первого года со дня вступления в силу настоящего Федерального закона;</w:t>
      </w:r>
    </w:p>
    <w:p w:rsidR="000217D4" w:rsidRPr="009529C8" w:rsidRDefault="000217D4" w:rsidP="006239F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529C8">
        <w:rPr>
          <w:rFonts w:ascii="Times New Roman" w:eastAsiaTheme="minorHAnsi" w:hAnsi="Times New Roman"/>
          <w:sz w:val="28"/>
          <w:szCs w:val="28"/>
        </w:rPr>
        <w:t xml:space="preserve">2) лицензиаты, которым лицензии предоставлены в период с 1 января 2012 года по 31 декабря 2015 года включительно, должны представить в лицензирующий орган информацию, предусмотренную </w:t>
      </w:r>
      <w:hyperlink r:id="rId10" w:history="1">
        <w:r w:rsidRPr="009529C8">
          <w:rPr>
            <w:rFonts w:ascii="Times New Roman" w:eastAsiaTheme="minorHAnsi" w:hAnsi="Times New Roman"/>
            <w:sz w:val="28"/>
            <w:szCs w:val="28"/>
          </w:rPr>
          <w:t>частью четвертой статьи 24.3</w:t>
        </w:r>
      </w:hyperlink>
      <w:r w:rsidRPr="009529C8">
        <w:rPr>
          <w:rFonts w:ascii="Times New Roman" w:eastAsiaTheme="minorHAnsi" w:hAnsi="Times New Roman"/>
          <w:sz w:val="28"/>
          <w:szCs w:val="28"/>
        </w:rPr>
        <w:t xml:space="preserve"> Федерального закона от 21 декабря 1994 года N 69-ФЗ "О пожарной безопасности", в течение второго года со дня вступления в силу настоящего Федерального закона;</w:t>
      </w:r>
      <w:proofErr w:type="gramEnd"/>
    </w:p>
    <w:p w:rsidR="000217D4" w:rsidRDefault="000217D4" w:rsidP="006239F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529C8">
        <w:rPr>
          <w:rFonts w:ascii="Times New Roman" w:eastAsiaTheme="minorHAnsi" w:hAnsi="Times New Roman"/>
          <w:sz w:val="28"/>
          <w:szCs w:val="28"/>
        </w:rPr>
        <w:t xml:space="preserve">3) лицензиаты, которым лицензии предоставлены начиная с 1 января 2016 года, должны представить в лицензирующий орган информацию, предусмотренную </w:t>
      </w:r>
      <w:hyperlink r:id="rId11" w:history="1">
        <w:r w:rsidRPr="009529C8">
          <w:rPr>
            <w:rFonts w:ascii="Times New Roman" w:eastAsiaTheme="minorHAnsi" w:hAnsi="Times New Roman"/>
            <w:sz w:val="28"/>
            <w:szCs w:val="28"/>
          </w:rPr>
          <w:t>частью четвертой статьи 24.3</w:t>
        </w:r>
      </w:hyperlink>
      <w:r w:rsidRPr="009529C8">
        <w:rPr>
          <w:rFonts w:ascii="Times New Roman" w:eastAsiaTheme="minorHAnsi" w:hAnsi="Times New Roman"/>
          <w:sz w:val="28"/>
          <w:szCs w:val="28"/>
        </w:rPr>
        <w:t xml:space="preserve"> Федерального закона от 21 декабря 1994 года N 69-ФЗ "О пожарной безопасности", в течение третьего года со дня вступления в силу настоящего Федерального закона в случае, если в течение этого года или ранее истекло три года и более</w:t>
      </w:r>
      <w:proofErr w:type="gramEnd"/>
      <w:r w:rsidRPr="009529C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529C8">
        <w:rPr>
          <w:rFonts w:ascii="Times New Roman" w:eastAsiaTheme="minorHAnsi" w:hAnsi="Times New Roman"/>
          <w:sz w:val="28"/>
          <w:szCs w:val="28"/>
        </w:rPr>
        <w:t>с даты выдачи</w:t>
      </w:r>
      <w:proofErr w:type="gramEnd"/>
      <w:r w:rsidRPr="009529C8">
        <w:rPr>
          <w:rFonts w:ascii="Times New Roman" w:eastAsiaTheme="minorHAnsi" w:hAnsi="Times New Roman"/>
          <w:sz w:val="28"/>
          <w:szCs w:val="28"/>
        </w:rPr>
        <w:t xml:space="preserve"> лицензии.</w:t>
      </w:r>
    </w:p>
    <w:p w:rsidR="001B30F0" w:rsidRPr="009529C8" w:rsidRDefault="001B30F0" w:rsidP="006239F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1B6CBB" w:rsidRPr="005150E2" w:rsidRDefault="00DD02F9" w:rsidP="0014165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150E2">
        <w:rPr>
          <w:rFonts w:ascii="Times New Roman" w:eastAsiaTheme="minorHAnsi" w:hAnsi="Times New Roman"/>
          <w:sz w:val="28"/>
          <w:szCs w:val="28"/>
        </w:rPr>
        <w:t>П</w:t>
      </w:r>
      <w:r w:rsidR="001B6CBB" w:rsidRPr="005150E2">
        <w:rPr>
          <w:rFonts w:ascii="Times New Roman" w:eastAsiaTheme="minorHAnsi" w:hAnsi="Times New Roman"/>
          <w:sz w:val="28"/>
          <w:szCs w:val="28"/>
        </w:rPr>
        <w:t>оложения</w:t>
      </w:r>
      <w:r w:rsidRPr="005150E2">
        <w:rPr>
          <w:rFonts w:ascii="Times New Roman" w:eastAsiaTheme="minorHAnsi" w:hAnsi="Times New Roman"/>
          <w:sz w:val="28"/>
          <w:szCs w:val="28"/>
        </w:rPr>
        <w:t>ми</w:t>
      </w:r>
      <w:r w:rsidR="001B6CBB" w:rsidRPr="005150E2">
        <w:rPr>
          <w:rFonts w:ascii="Times New Roman" w:eastAsiaTheme="minorHAnsi" w:hAnsi="Times New Roman"/>
          <w:sz w:val="28"/>
          <w:szCs w:val="28"/>
        </w:rPr>
        <w:t xml:space="preserve"> Федерального </w:t>
      </w:r>
      <w:hyperlink r:id="rId12" w:history="1">
        <w:r w:rsidR="001B6CBB" w:rsidRPr="005150E2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1B6CBB" w:rsidRPr="005150E2">
        <w:rPr>
          <w:rFonts w:ascii="Times New Roman" w:eastAsiaTheme="minorHAnsi" w:hAnsi="Times New Roman"/>
          <w:sz w:val="28"/>
          <w:szCs w:val="28"/>
        </w:rPr>
        <w:t xml:space="preserve"> от 11.06.2021 N 168-ФЗ "О внесении изменений в Федеральный закон "О пожарной безопасности" и статьи 1 и 22 Федерального закона "О лицензировани</w:t>
      </w:r>
      <w:r w:rsidRPr="005150E2">
        <w:rPr>
          <w:rFonts w:ascii="Times New Roman" w:eastAsiaTheme="minorHAnsi" w:hAnsi="Times New Roman"/>
          <w:sz w:val="28"/>
          <w:szCs w:val="28"/>
        </w:rPr>
        <w:t xml:space="preserve">и отдельных видов деятельности" </w:t>
      </w:r>
      <w:r w:rsidRPr="005150E2">
        <w:rPr>
          <w:rFonts w:ascii="Times New Roman" w:eastAsiaTheme="minorHAnsi" w:hAnsi="Times New Roman"/>
          <w:bCs/>
          <w:sz w:val="28"/>
          <w:szCs w:val="28"/>
        </w:rPr>
        <w:t xml:space="preserve">вносятся изменения в </w:t>
      </w:r>
      <w:hyperlink r:id="rId13" w:history="1">
        <w:r w:rsidRPr="005150E2">
          <w:rPr>
            <w:rFonts w:ascii="Times New Roman" w:eastAsiaTheme="minorHAnsi" w:hAnsi="Times New Roman"/>
            <w:bCs/>
            <w:sz w:val="28"/>
            <w:szCs w:val="28"/>
          </w:rPr>
          <w:t>Положение</w:t>
        </w:r>
      </w:hyperlink>
      <w:r w:rsidRPr="005150E2">
        <w:rPr>
          <w:rFonts w:ascii="Times New Roman" w:eastAsiaTheme="minorHAnsi" w:hAnsi="Times New Roman"/>
          <w:bCs/>
          <w:sz w:val="28"/>
          <w:szCs w:val="28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1B6CBB" w:rsidRPr="005150E2" w:rsidRDefault="001B6CBB" w:rsidP="0014165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150E2">
        <w:rPr>
          <w:rFonts w:ascii="Times New Roman" w:eastAsiaTheme="minorHAnsi" w:hAnsi="Times New Roman"/>
          <w:sz w:val="28"/>
          <w:szCs w:val="28"/>
        </w:rPr>
        <w:t>В частности, расширяется перечень лицензионных требований</w:t>
      </w:r>
      <w:r w:rsidR="00141655" w:rsidRPr="005150E2">
        <w:rPr>
          <w:rFonts w:ascii="Times New Roman" w:eastAsiaTheme="minorHAnsi" w:hAnsi="Times New Roman"/>
          <w:sz w:val="28"/>
          <w:szCs w:val="28"/>
        </w:rPr>
        <w:t xml:space="preserve"> в части касающейся</w:t>
      </w:r>
      <w:r w:rsidRPr="005150E2">
        <w:rPr>
          <w:rFonts w:ascii="Times New Roman" w:eastAsiaTheme="minorHAnsi" w:hAnsi="Times New Roman"/>
          <w:sz w:val="28"/>
          <w:szCs w:val="28"/>
        </w:rPr>
        <w:t>.</w:t>
      </w:r>
    </w:p>
    <w:p w:rsidR="001B6CBB" w:rsidRDefault="001B6CBB" w:rsidP="0014165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41655">
        <w:rPr>
          <w:rFonts w:ascii="Times New Roman" w:eastAsiaTheme="minorHAnsi" w:hAnsi="Times New Roman"/>
          <w:sz w:val="28"/>
          <w:szCs w:val="28"/>
        </w:rPr>
        <w:t>Так, при осуществлении деятельности по монтажу, техническому обслуживанию и ремонту средств обеспечения пожарной безопасности зданий и сооружений теперь необходимо, в частности,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Pr="00141655">
        <w:rPr>
          <w:rFonts w:ascii="Times New Roman" w:eastAsiaTheme="minorHAnsi" w:hAnsi="Times New Roman"/>
          <w:sz w:val="28"/>
          <w:szCs w:val="28"/>
        </w:rPr>
        <w:t>Техносферная</w:t>
      </w:r>
      <w:proofErr w:type="spellEnd"/>
      <w:r w:rsidRPr="00141655">
        <w:rPr>
          <w:rFonts w:ascii="Times New Roman" w:eastAsiaTheme="minorHAnsi" w:hAnsi="Times New Roman"/>
          <w:sz w:val="28"/>
          <w:szCs w:val="28"/>
        </w:rPr>
        <w:t xml:space="preserve"> безопасность</w:t>
      </w:r>
      <w:proofErr w:type="gramEnd"/>
      <w:r w:rsidRPr="00141655">
        <w:rPr>
          <w:rFonts w:ascii="Times New Roman" w:eastAsiaTheme="minorHAnsi" w:hAnsi="Times New Roman"/>
          <w:sz w:val="28"/>
          <w:szCs w:val="28"/>
        </w:rPr>
        <w:t xml:space="preserve">", </w:t>
      </w:r>
      <w:proofErr w:type="gramStart"/>
      <w:r w:rsidRPr="00141655">
        <w:rPr>
          <w:rFonts w:ascii="Times New Roman" w:eastAsiaTheme="minorHAnsi" w:hAnsi="Times New Roman"/>
          <w:sz w:val="28"/>
          <w:szCs w:val="28"/>
        </w:rPr>
        <w:t>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</w:t>
      </w:r>
      <w:proofErr w:type="gramEnd"/>
      <w:r w:rsidRPr="0014165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41655">
        <w:rPr>
          <w:rFonts w:ascii="Times New Roman" w:eastAsiaTheme="minorHAnsi" w:hAnsi="Times New Roman"/>
          <w:sz w:val="28"/>
          <w:szCs w:val="28"/>
        </w:rPr>
        <w:t>должностях</w:t>
      </w:r>
      <w:proofErr w:type="gramEnd"/>
      <w:r w:rsidRPr="00141655">
        <w:rPr>
          <w:rFonts w:ascii="Times New Roman" w:eastAsiaTheme="minorHAnsi" w:hAnsi="Times New Roman"/>
          <w:sz w:val="28"/>
          <w:szCs w:val="28"/>
        </w:rPr>
        <w:t>, связанных с осуществлением лицензируемого вида деятельности. Работник может быть ответственным за осуществление лицензируемого вида деятельности только у одного юридического лица или ИП.</w:t>
      </w:r>
    </w:p>
    <w:p w:rsidR="00141655" w:rsidRDefault="00141655" w:rsidP="0014165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BE67A4" w:rsidRDefault="00141655" w:rsidP="00BE67A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8462F">
        <w:rPr>
          <w:rFonts w:ascii="Times New Roman" w:eastAsiaTheme="minorHAnsi" w:hAnsi="Times New Roman"/>
          <w:sz w:val="28"/>
          <w:szCs w:val="28"/>
        </w:rPr>
        <w:t>Постановление Правительства РФ от 30.07.2021 N 1279</w:t>
      </w:r>
      <w:r w:rsidR="005150E2">
        <w:rPr>
          <w:rFonts w:ascii="Times New Roman" w:eastAsiaTheme="minorHAnsi" w:hAnsi="Times New Roman"/>
          <w:sz w:val="28"/>
          <w:szCs w:val="28"/>
        </w:rPr>
        <w:br/>
      </w:r>
      <w:r w:rsidRPr="00141655">
        <w:rPr>
          <w:rFonts w:ascii="Times New Roman" w:eastAsiaTheme="minorHAnsi" w:hAnsi="Times New Roman"/>
          <w:sz w:val="28"/>
          <w:szCs w:val="28"/>
        </w:rPr>
        <w:t xml:space="preserve">"О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 </w:t>
      </w:r>
      <w:r w:rsidR="00BE67A4">
        <w:rPr>
          <w:rFonts w:ascii="Times New Roman" w:eastAsiaTheme="minorHAnsi" w:hAnsi="Times New Roman"/>
          <w:sz w:val="28"/>
          <w:szCs w:val="28"/>
        </w:rPr>
        <w:t>устанавливает участие в эксперименте наряду с другими министерствами и ведомствами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BE67A4" w:rsidRDefault="002D6D36" w:rsidP="00BE67A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8462F">
        <w:rPr>
          <w:rFonts w:ascii="Times New Roman" w:eastAsiaTheme="minorHAnsi" w:hAnsi="Times New Roman"/>
          <w:b/>
          <w:sz w:val="28"/>
          <w:szCs w:val="28"/>
        </w:rPr>
        <w:t>П</w:t>
      </w:r>
      <w:r w:rsidR="00BE67A4" w:rsidRPr="0048462F">
        <w:rPr>
          <w:rFonts w:ascii="Times New Roman" w:eastAsiaTheme="minorHAnsi" w:hAnsi="Times New Roman"/>
          <w:b/>
          <w:sz w:val="28"/>
          <w:szCs w:val="28"/>
        </w:rPr>
        <w:t>остановлением Правительства РФ от 02.12.2021 N 2176</w:t>
      </w:r>
      <w:r w:rsidR="00BE67A4" w:rsidRPr="00BE67A4">
        <w:rPr>
          <w:rFonts w:ascii="Times New Roman" w:eastAsiaTheme="minorHAnsi" w:hAnsi="Times New Roman"/>
          <w:sz w:val="28"/>
          <w:szCs w:val="28"/>
        </w:rPr>
        <w:t xml:space="preserve"> </w:t>
      </w:r>
      <w:r w:rsidR="00BE67A4">
        <w:rPr>
          <w:rFonts w:ascii="Times New Roman" w:eastAsiaTheme="minorHAnsi" w:hAnsi="Times New Roman"/>
          <w:sz w:val="28"/>
          <w:szCs w:val="28"/>
        </w:rPr>
        <w:t xml:space="preserve">внесены ряд </w:t>
      </w:r>
      <w:proofErr w:type="gramStart"/>
      <w:r w:rsidR="00BE67A4">
        <w:rPr>
          <w:rFonts w:ascii="Times New Roman" w:eastAsiaTheme="minorHAnsi" w:hAnsi="Times New Roman"/>
          <w:sz w:val="28"/>
          <w:szCs w:val="28"/>
        </w:rPr>
        <w:t>изменений</w:t>
      </w:r>
      <w:proofErr w:type="gramEnd"/>
      <w:r w:rsidR="006C2B21">
        <w:rPr>
          <w:rFonts w:ascii="Times New Roman" w:eastAsiaTheme="minorHAnsi" w:hAnsi="Times New Roman"/>
          <w:sz w:val="28"/>
          <w:szCs w:val="28"/>
        </w:rPr>
        <w:t xml:space="preserve"> в указанный нормативный документ согласно </w:t>
      </w:r>
      <w:proofErr w:type="gramStart"/>
      <w:r w:rsidR="006C2B21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="006C2B21">
        <w:rPr>
          <w:rFonts w:ascii="Times New Roman" w:eastAsiaTheme="minorHAnsi" w:hAnsi="Times New Roman"/>
          <w:sz w:val="28"/>
          <w:szCs w:val="28"/>
        </w:rPr>
        <w:t>:</w:t>
      </w:r>
    </w:p>
    <w:p w:rsidR="006C2B21" w:rsidRPr="006C2B21" w:rsidRDefault="006C2B21" w:rsidP="006C2B2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у</w:t>
      </w:r>
      <w:r w:rsidRPr="006C2B21">
        <w:rPr>
          <w:rFonts w:ascii="Times New Roman" w:eastAsiaTheme="minorHAnsi" w:hAnsi="Times New Roman"/>
          <w:bCs/>
          <w:sz w:val="28"/>
          <w:szCs w:val="28"/>
        </w:rPr>
        <w:t>точняются положения, касающиеся проведения на территории РФ эксперимента по оптимизации и автоматизации процессов разрешительной деятельности, в том числе лицензирования</w:t>
      </w:r>
    </w:p>
    <w:p w:rsidR="006C2B21" w:rsidRPr="006C2B21" w:rsidRDefault="006C2B21" w:rsidP="006C2B2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</w:t>
      </w:r>
      <w:r w:rsidRPr="006C2B21">
        <w:rPr>
          <w:rFonts w:ascii="Times New Roman" w:eastAsiaTheme="minorHAnsi" w:hAnsi="Times New Roman"/>
          <w:sz w:val="28"/>
          <w:szCs w:val="28"/>
        </w:rPr>
        <w:t>асширяется перечень уча</w:t>
      </w:r>
      <w:r w:rsidR="00D43542">
        <w:rPr>
          <w:rFonts w:ascii="Times New Roman" w:eastAsiaTheme="minorHAnsi" w:hAnsi="Times New Roman"/>
          <w:sz w:val="28"/>
          <w:szCs w:val="28"/>
        </w:rPr>
        <w:t>стников эксперимента</w:t>
      </w:r>
    </w:p>
    <w:p w:rsidR="006C2B21" w:rsidRPr="005150E2" w:rsidRDefault="006C2B21" w:rsidP="006C2B2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</w:t>
      </w:r>
      <w:r w:rsidRPr="006C2B21">
        <w:rPr>
          <w:rFonts w:ascii="Times New Roman" w:eastAsiaTheme="minorHAnsi" w:hAnsi="Times New Roman"/>
          <w:sz w:val="28"/>
          <w:szCs w:val="28"/>
        </w:rPr>
        <w:t>стан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6C2B21">
        <w:rPr>
          <w:rFonts w:ascii="Times New Roman" w:eastAsiaTheme="minorHAnsi" w:hAnsi="Times New Roman"/>
          <w:sz w:val="28"/>
          <w:szCs w:val="28"/>
        </w:rPr>
        <w:t>вл</w:t>
      </w:r>
      <w:r>
        <w:rPr>
          <w:rFonts w:ascii="Times New Roman" w:eastAsiaTheme="minorHAnsi" w:hAnsi="Times New Roman"/>
          <w:sz w:val="28"/>
          <w:szCs w:val="28"/>
        </w:rPr>
        <w:t>ивается</w:t>
      </w:r>
      <w:r w:rsidR="00AA43FD">
        <w:rPr>
          <w:rFonts w:ascii="Times New Roman" w:eastAsiaTheme="minorHAnsi" w:hAnsi="Times New Roman"/>
          <w:sz w:val="28"/>
          <w:szCs w:val="28"/>
        </w:rPr>
        <w:t>, что</w:t>
      </w:r>
      <w:r w:rsidRPr="006C2B21">
        <w:rPr>
          <w:rFonts w:ascii="Times New Roman" w:eastAsiaTheme="minorHAnsi" w:hAnsi="Times New Roman"/>
          <w:sz w:val="28"/>
          <w:szCs w:val="28"/>
        </w:rPr>
        <w:t xml:space="preserve"> срок предоставления разрешений, в отношении которых осуществляется эксперимент, не может превышать 15 рабочих дней. </w:t>
      </w:r>
      <w:r w:rsidRPr="005150E2">
        <w:rPr>
          <w:rFonts w:ascii="Times New Roman" w:eastAsiaTheme="minorHAnsi" w:hAnsi="Times New Roman"/>
          <w:sz w:val="28"/>
          <w:szCs w:val="28"/>
        </w:rPr>
        <w:t xml:space="preserve">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может быть принято решение о сокращении указанного срока. В ряде </w:t>
      </w:r>
      <w:hyperlink r:id="rId14" w:history="1">
        <w:r w:rsidRPr="005150E2">
          <w:rPr>
            <w:rFonts w:ascii="Times New Roman" w:eastAsiaTheme="minorHAnsi" w:hAnsi="Times New Roman"/>
            <w:sz w:val="28"/>
            <w:szCs w:val="28"/>
          </w:rPr>
          <w:t>случаев</w:t>
        </w:r>
      </w:hyperlink>
      <w:r w:rsidRPr="005150E2">
        <w:rPr>
          <w:rFonts w:ascii="Times New Roman" w:eastAsiaTheme="minorHAnsi" w:hAnsi="Times New Roman"/>
          <w:sz w:val="28"/>
          <w:szCs w:val="28"/>
        </w:rPr>
        <w:t xml:space="preserve"> указанный срок может быть продлен по решению участника эксперимента.</w:t>
      </w:r>
    </w:p>
    <w:p w:rsidR="00AA43FD" w:rsidRPr="00AA43FD" w:rsidRDefault="00AA43FD" w:rsidP="00AA43F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AA43FD">
        <w:rPr>
          <w:rFonts w:ascii="Times New Roman" w:eastAsiaTheme="minorHAnsi" w:hAnsi="Times New Roman"/>
          <w:bCs/>
          <w:sz w:val="28"/>
          <w:szCs w:val="28"/>
        </w:rPr>
        <w:t>Срок, установленный подпунктом "в" пункта 3 настоящего постановления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(15 дней)</w:t>
      </w:r>
      <w:r w:rsidRPr="00AA43FD">
        <w:rPr>
          <w:rFonts w:ascii="Times New Roman" w:eastAsiaTheme="minorHAnsi" w:hAnsi="Times New Roman"/>
          <w:bCs/>
          <w:sz w:val="28"/>
          <w:szCs w:val="28"/>
        </w:rPr>
        <w:t xml:space="preserve">, по решению участника эксперимента может быть </w:t>
      </w:r>
      <w:proofErr w:type="gramStart"/>
      <w:r w:rsidRPr="00AA43FD">
        <w:rPr>
          <w:rFonts w:ascii="Times New Roman" w:eastAsiaTheme="minorHAnsi" w:hAnsi="Times New Roman"/>
          <w:bCs/>
          <w:sz w:val="28"/>
          <w:szCs w:val="28"/>
        </w:rPr>
        <w:t>продлен</w:t>
      </w:r>
      <w:proofErr w:type="gramEnd"/>
      <w:r w:rsidRPr="00AA43FD">
        <w:rPr>
          <w:rFonts w:ascii="Times New Roman" w:eastAsiaTheme="minorHAnsi" w:hAnsi="Times New Roman"/>
          <w:bCs/>
          <w:sz w:val="28"/>
          <w:szCs w:val="28"/>
        </w:rPr>
        <w:t xml:space="preserve"> если заявлено 5 и более адресов мест осуществления деятельности по монтажу, техническому обслуживанию и ремонту средств обеспечения пожарной безопасности зданий и сооружений, деятельности по тушению пожаров в населенных пунктах, на производственных объектах и объектах инфраструктуры.</w:t>
      </w:r>
    </w:p>
    <w:p w:rsidR="00AA43FD" w:rsidRPr="00AA43FD" w:rsidRDefault="00AA43FD" w:rsidP="00AA43F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AA43FD">
        <w:rPr>
          <w:rFonts w:ascii="Times New Roman" w:eastAsiaTheme="minorHAnsi" w:hAnsi="Times New Roman"/>
          <w:bCs/>
          <w:sz w:val="28"/>
          <w:szCs w:val="28"/>
        </w:rPr>
        <w:t>Целями эксперимента являются создание и апробация механизма упрощения и ускорения подачи, приема, рассмотрения заявления, предоставления разрешения по результатам проверки заявителя на соответствие требованиям, прекращения действия разрешения.</w:t>
      </w:r>
    </w:p>
    <w:p w:rsidR="00AA43FD" w:rsidRDefault="00AA43FD" w:rsidP="00AA43F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233FE">
        <w:rPr>
          <w:rFonts w:ascii="Times New Roman" w:eastAsiaTheme="minorHAnsi" w:hAnsi="Times New Roman"/>
          <w:bCs/>
          <w:sz w:val="28"/>
          <w:szCs w:val="28"/>
        </w:rPr>
        <w:t>Решение об участии в эксперименте принимается заявителем самостоятельно. Подача заявления заявителем в рамках эксперимента осуществляется в добровольном порядке посредством использования личного кабинета на едином портале.</w:t>
      </w:r>
    </w:p>
    <w:p w:rsidR="005233FE" w:rsidRPr="005233FE" w:rsidRDefault="005233FE" w:rsidP="00AA43FD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1B30F0" w:rsidRP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150E2">
        <w:rPr>
          <w:rFonts w:ascii="Times New Roman" w:hAnsi="Times New Roman"/>
          <w:b/>
          <w:sz w:val="28"/>
          <w:szCs w:val="28"/>
        </w:rPr>
        <w:t>Приказом МЧС России от 29.09.2021 N 641</w:t>
      </w:r>
      <w:r w:rsidRPr="001B30F0">
        <w:rPr>
          <w:rFonts w:ascii="Times New Roman" w:hAnsi="Times New Roman"/>
          <w:sz w:val="28"/>
          <w:szCs w:val="28"/>
        </w:rPr>
        <w:t xml:space="preserve"> "Об утверждении перечней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инфраструктуры" (Зарегистрировано в Минюсте</w:t>
      </w:r>
      <w:proofErr w:type="gramEnd"/>
      <w:r w:rsidRPr="001B30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0F0">
        <w:rPr>
          <w:rFonts w:ascii="Times New Roman" w:hAnsi="Times New Roman"/>
          <w:sz w:val="28"/>
          <w:szCs w:val="28"/>
        </w:rPr>
        <w:t>России 03.11.2021 N 65698)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B30F0">
        <w:rPr>
          <w:rFonts w:ascii="Times New Roman" w:eastAsiaTheme="minorHAnsi" w:hAnsi="Times New Roman"/>
          <w:bCs/>
          <w:sz w:val="28"/>
          <w:szCs w:val="28"/>
        </w:rPr>
        <w:t>пределены перечни индикаторов риска нарушения обязательных требований при осуществлении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 лицензионного контроля (надзора) за деятельностью по тушению пожаров в населенных пунктах, на производственных объектах и объектах инфраструктуры</w:t>
      </w:r>
      <w:proofErr w:type="gramEnd"/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используются следующие индикаторы риска нарушения обязательных требований: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 в случае использования его места осуществления лицензируемого вида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деятельности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работник которого, ответственный за осуществление лицензируемого вида деятельности, заявлен в качестве такого работника иного лицензиата.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 используются следующие индикаторы риска нарушения обязательных требований: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 в случае использования его места осуществления лицензируемого вида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деятельности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работник которого, являющийся ответственным за осуществление лицензируемого вида деятельности, заявлен в качестве такого работника иного лицензиата;</w:t>
      </w:r>
    </w:p>
    <w:p w:rsidR="001B30F0" w:rsidRDefault="001B30F0" w:rsidP="001B30F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оказывающего услуги в разных муниципальных образованиях, в том числе межселенных территориях, одного субъекта Российской Федерации и (или) в разных субъектах Российской Федерации.</w:t>
      </w:r>
    </w:p>
    <w:p w:rsidR="004D6F97" w:rsidRPr="004D6F97" w:rsidRDefault="004D6F97" w:rsidP="001B30F0">
      <w:pPr>
        <w:ind w:firstLine="709"/>
        <w:jc w:val="right"/>
        <w:rPr>
          <w:rFonts w:ascii="Times New Roman" w:hAnsi="Times New Roman"/>
          <w:b/>
          <w:sz w:val="28"/>
          <w:szCs w:val="30"/>
        </w:rPr>
      </w:pPr>
    </w:p>
    <w:sectPr w:rsidR="004D6F97" w:rsidRPr="004D6F97" w:rsidSect="00D83A1C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FF" w:rsidRDefault="005C5DFF" w:rsidP="00D83A1C">
      <w:r>
        <w:separator/>
      </w:r>
    </w:p>
  </w:endnote>
  <w:endnote w:type="continuationSeparator" w:id="0">
    <w:p w:rsidR="005C5DFF" w:rsidRDefault="005C5DFF" w:rsidP="00D83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FF" w:rsidRDefault="005C5DFF" w:rsidP="00D83A1C">
      <w:r>
        <w:separator/>
      </w:r>
    </w:p>
  </w:footnote>
  <w:footnote w:type="continuationSeparator" w:id="0">
    <w:p w:rsidR="005C5DFF" w:rsidRDefault="005C5DFF" w:rsidP="00D83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187446"/>
    </w:sdtPr>
    <w:sdtEndPr>
      <w:rPr>
        <w:rFonts w:ascii="Times New Roman" w:hAnsi="Times New Roman"/>
      </w:rPr>
    </w:sdtEndPr>
    <w:sdtContent>
      <w:p w:rsidR="00012E02" w:rsidRPr="00D83A1C" w:rsidRDefault="00661084">
        <w:pPr>
          <w:pStyle w:val="a3"/>
          <w:jc w:val="center"/>
          <w:rPr>
            <w:rFonts w:ascii="Times New Roman" w:hAnsi="Times New Roman"/>
          </w:rPr>
        </w:pPr>
        <w:r w:rsidRPr="00D83A1C">
          <w:rPr>
            <w:rFonts w:ascii="Times New Roman" w:hAnsi="Times New Roman"/>
          </w:rPr>
          <w:fldChar w:fldCharType="begin"/>
        </w:r>
        <w:r w:rsidR="00012E02" w:rsidRPr="00D83A1C">
          <w:rPr>
            <w:rFonts w:ascii="Times New Roman" w:hAnsi="Times New Roman"/>
          </w:rPr>
          <w:instrText>PAGE   \* MERGEFORMAT</w:instrText>
        </w:r>
        <w:r w:rsidRPr="00D83A1C">
          <w:rPr>
            <w:rFonts w:ascii="Times New Roman" w:hAnsi="Times New Roman"/>
          </w:rPr>
          <w:fldChar w:fldCharType="separate"/>
        </w:r>
        <w:r w:rsidR="004449D6">
          <w:rPr>
            <w:rFonts w:ascii="Times New Roman" w:hAnsi="Times New Roman"/>
            <w:noProof/>
          </w:rPr>
          <w:t>5</w:t>
        </w:r>
        <w:r w:rsidRPr="00D83A1C">
          <w:rPr>
            <w:rFonts w:ascii="Times New Roman" w:hAnsi="Times New Roman"/>
          </w:rPr>
          <w:fldChar w:fldCharType="end"/>
        </w:r>
      </w:p>
    </w:sdtContent>
  </w:sdt>
  <w:p w:rsidR="00012E02" w:rsidRDefault="00012E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441F"/>
    <w:multiLevelType w:val="hybridMultilevel"/>
    <w:tmpl w:val="5E2C1F60"/>
    <w:lvl w:ilvl="0" w:tplc="0734C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4E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09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C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A5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C8B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83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2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E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545FBA"/>
    <w:multiLevelType w:val="hybridMultilevel"/>
    <w:tmpl w:val="3536CC50"/>
    <w:lvl w:ilvl="0" w:tplc="99584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E6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29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4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6E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C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C2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EA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0E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6F3258"/>
    <w:multiLevelType w:val="hybridMultilevel"/>
    <w:tmpl w:val="1DAA8856"/>
    <w:lvl w:ilvl="0" w:tplc="F06AA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6B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2B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C4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08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82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4A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02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1482"/>
    <w:rsid w:val="00007B98"/>
    <w:rsid w:val="00012E02"/>
    <w:rsid w:val="000217D4"/>
    <w:rsid w:val="00030CCB"/>
    <w:rsid w:val="000809E6"/>
    <w:rsid w:val="001000BA"/>
    <w:rsid w:val="0013034C"/>
    <w:rsid w:val="00141655"/>
    <w:rsid w:val="00197D55"/>
    <w:rsid w:val="001A3DBF"/>
    <w:rsid w:val="001B30F0"/>
    <w:rsid w:val="001B6CBB"/>
    <w:rsid w:val="001C040B"/>
    <w:rsid w:val="00242628"/>
    <w:rsid w:val="002D288C"/>
    <w:rsid w:val="002D6D36"/>
    <w:rsid w:val="002E73AA"/>
    <w:rsid w:val="00300D34"/>
    <w:rsid w:val="00347089"/>
    <w:rsid w:val="00370372"/>
    <w:rsid w:val="00394966"/>
    <w:rsid w:val="00414497"/>
    <w:rsid w:val="004449D6"/>
    <w:rsid w:val="00482408"/>
    <w:rsid w:val="00483D65"/>
    <w:rsid w:val="0048462F"/>
    <w:rsid w:val="004975B3"/>
    <w:rsid w:val="004B380A"/>
    <w:rsid w:val="004B60EF"/>
    <w:rsid w:val="004D6F97"/>
    <w:rsid w:val="005054FE"/>
    <w:rsid w:val="005150E2"/>
    <w:rsid w:val="005233FE"/>
    <w:rsid w:val="00533885"/>
    <w:rsid w:val="00596116"/>
    <w:rsid w:val="005A28D2"/>
    <w:rsid w:val="005B5282"/>
    <w:rsid w:val="005B5A61"/>
    <w:rsid w:val="005C5DFF"/>
    <w:rsid w:val="005F4A98"/>
    <w:rsid w:val="00612FF5"/>
    <w:rsid w:val="00614BE7"/>
    <w:rsid w:val="006239F5"/>
    <w:rsid w:val="00661084"/>
    <w:rsid w:val="00681543"/>
    <w:rsid w:val="00682755"/>
    <w:rsid w:val="006866C0"/>
    <w:rsid w:val="006A71A7"/>
    <w:rsid w:val="006C2B21"/>
    <w:rsid w:val="00705BB3"/>
    <w:rsid w:val="007251FA"/>
    <w:rsid w:val="0076212F"/>
    <w:rsid w:val="00785422"/>
    <w:rsid w:val="00802F01"/>
    <w:rsid w:val="008039BD"/>
    <w:rsid w:val="00820437"/>
    <w:rsid w:val="00826109"/>
    <w:rsid w:val="0082631E"/>
    <w:rsid w:val="00845EAA"/>
    <w:rsid w:val="00855702"/>
    <w:rsid w:val="00871E0A"/>
    <w:rsid w:val="00880A83"/>
    <w:rsid w:val="00883EF6"/>
    <w:rsid w:val="00885FB3"/>
    <w:rsid w:val="0089099A"/>
    <w:rsid w:val="008B3899"/>
    <w:rsid w:val="008D4FF2"/>
    <w:rsid w:val="008D54CD"/>
    <w:rsid w:val="009529C8"/>
    <w:rsid w:val="009B1674"/>
    <w:rsid w:val="009B63E3"/>
    <w:rsid w:val="009D45DD"/>
    <w:rsid w:val="009D5DAE"/>
    <w:rsid w:val="00A013C3"/>
    <w:rsid w:val="00A23AC5"/>
    <w:rsid w:val="00A31DE4"/>
    <w:rsid w:val="00A33407"/>
    <w:rsid w:val="00A61482"/>
    <w:rsid w:val="00AA42FD"/>
    <w:rsid w:val="00AA43FD"/>
    <w:rsid w:val="00AA52D9"/>
    <w:rsid w:val="00B03035"/>
    <w:rsid w:val="00B80310"/>
    <w:rsid w:val="00B80536"/>
    <w:rsid w:val="00B8730C"/>
    <w:rsid w:val="00B91A85"/>
    <w:rsid w:val="00BE67A4"/>
    <w:rsid w:val="00BF6E2C"/>
    <w:rsid w:val="00C54410"/>
    <w:rsid w:val="00CD7E04"/>
    <w:rsid w:val="00CE34B6"/>
    <w:rsid w:val="00D0292A"/>
    <w:rsid w:val="00D06BA9"/>
    <w:rsid w:val="00D06EE7"/>
    <w:rsid w:val="00D402BF"/>
    <w:rsid w:val="00D41591"/>
    <w:rsid w:val="00D43542"/>
    <w:rsid w:val="00D6032E"/>
    <w:rsid w:val="00D83A1C"/>
    <w:rsid w:val="00D94CDC"/>
    <w:rsid w:val="00DA2923"/>
    <w:rsid w:val="00DA6E7F"/>
    <w:rsid w:val="00DC7DAE"/>
    <w:rsid w:val="00DD02F9"/>
    <w:rsid w:val="00E06212"/>
    <w:rsid w:val="00E53D54"/>
    <w:rsid w:val="00E5564D"/>
    <w:rsid w:val="00E62F0B"/>
    <w:rsid w:val="00E64D00"/>
    <w:rsid w:val="00E65E6A"/>
    <w:rsid w:val="00EB5B1F"/>
    <w:rsid w:val="00EC2A28"/>
    <w:rsid w:val="00EC56FC"/>
    <w:rsid w:val="00EF08D3"/>
    <w:rsid w:val="00EF459A"/>
    <w:rsid w:val="00EF5181"/>
    <w:rsid w:val="00EF7D73"/>
    <w:rsid w:val="00F47062"/>
    <w:rsid w:val="00F732ED"/>
    <w:rsid w:val="00F73C38"/>
    <w:rsid w:val="00F819C3"/>
    <w:rsid w:val="00F96970"/>
    <w:rsid w:val="00FB24C5"/>
    <w:rsid w:val="00FB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A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44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435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83A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A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3A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A1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5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BB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39B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8039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8039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8039BD"/>
    <w:rPr>
      <w:rFonts w:cs="Times New Roman"/>
      <w:vertAlign w:val="superscript"/>
    </w:rPr>
  </w:style>
  <w:style w:type="paragraph" w:customStyle="1" w:styleId="ConsPlusNormal">
    <w:name w:val="ConsPlusNormal"/>
    <w:rsid w:val="00EF7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054FE"/>
    <w:pPr>
      <w:spacing w:after="140" w:line="276" w:lineRule="auto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Знак"/>
    <w:basedOn w:val="a0"/>
    <w:link w:val="ad"/>
    <w:rsid w:val="005054FE"/>
  </w:style>
  <w:style w:type="paragraph" w:styleId="af">
    <w:name w:val="Normal (Web)"/>
    <w:basedOn w:val="a"/>
    <w:uiPriority w:val="99"/>
    <w:semiHidden/>
    <w:unhideWhenUsed/>
    <w:rsid w:val="002D28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A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44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435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83A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A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83A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A1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5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BB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39B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8039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8039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8039BD"/>
    <w:rPr>
      <w:rFonts w:cs="Times New Roman"/>
      <w:vertAlign w:val="superscript"/>
    </w:rPr>
  </w:style>
  <w:style w:type="paragraph" w:customStyle="1" w:styleId="ConsPlusNormal">
    <w:name w:val="ConsPlusNormal"/>
    <w:rsid w:val="00EF7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8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1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2167E6D61DB6A1BD2F5DAA9CB8154AE7C8CF0EA961D6D57667D72EFD434DCC08437EC323F692F7B8FFB0D32T8l1J" TargetMode="External"/><Relationship Id="rId13" Type="http://schemas.openxmlformats.org/officeDocument/2006/relationships/hyperlink" Target="consultantplus://offline/ref=B070E478DD974B9FA81C931C91C2B7784C5988B5A5C98C554DD9E3CABF8A120DBF28B969576FB1B960FD04BFC6FFB63794C8B796AE140977m6uB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70E478DD974B9FA81C931C91C2B7784C588ABCA4CF8C554DD9E3CABF8A120DAD28E165556FAFB968E852EE80mAu8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39A9F719C51CDDB650A645607DC757D11D701C3387AE5BC4A63628942CCCD56D1C8091EED392B7C3D73E8FF3DD66CCE4B5BEE80BABn7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F39A9F719C51CDDB650A645607DC757D11D701C3387AE5BC4A63628942CCCD56D1C8091EED392B7C3D73E8FF3DD66CCE4B5BEE80BABn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39A9F719C51CDDB650A645607DC757D11D701C3387AE5BC4A63628942CCCD56D1C8091EED392B7C3D73E8FF3DD66CCE4B5BEE80BABn7O" TargetMode="External"/><Relationship Id="rId14" Type="http://schemas.openxmlformats.org/officeDocument/2006/relationships/hyperlink" Target="consultantplus://offline/ref=BEF5338DB6B6FB6BDC0D46847FCE3654A01BE5EFC310A81E72A26E1FDCEDAAFA4050E252A4487E6E3B53A52F79AA8993F5EFB134420F2D14P3A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0389-F7C2-481B-B260-E4062617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Лапаева И.В.</dc:creator>
  <cp:lastModifiedBy>Server_ugpn</cp:lastModifiedBy>
  <cp:revision>6</cp:revision>
  <cp:lastPrinted>2021-09-27T09:00:00Z</cp:lastPrinted>
  <dcterms:created xsi:type="dcterms:W3CDTF">2022-02-28T07:29:00Z</dcterms:created>
  <dcterms:modified xsi:type="dcterms:W3CDTF">2022-02-28T08:45:00Z</dcterms:modified>
</cp:coreProperties>
</file>